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F208C6" w14:paraId="219286D8" w14:textId="77777777" w:rsidTr="00377C35">
        <w:trPr>
          <w:trHeight w:hRule="exact" w:val="559"/>
        </w:trPr>
        <w:tc>
          <w:tcPr>
            <w:tcW w:w="10717" w:type="dxa"/>
            <w:gridSpan w:val="2"/>
          </w:tcPr>
          <w:p w14:paraId="5980142A" w14:textId="59090F9F" w:rsidR="00F208C6" w:rsidRDefault="00377C35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Vymáhání nedoplatků (86/26)</w:t>
            </w:r>
          </w:p>
        </w:tc>
      </w:tr>
      <w:tr w:rsidR="00F208C6" w14:paraId="05A95F03" w14:textId="77777777" w:rsidTr="00377C35">
        <w:trPr>
          <w:trHeight w:hRule="exact" w:val="459"/>
        </w:trPr>
        <w:tc>
          <w:tcPr>
            <w:tcW w:w="3725" w:type="dxa"/>
          </w:tcPr>
          <w:p w14:paraId="49183196" w14:textId="77777777" w:rsidR="00F208C6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Žádost:</w:t>
            </w:r>
          </w:p>
        </w:tc>
        <w:tc>
          <w:tcPr>
            <w:tcW w:w="6992" w:type="dxa"/>
          </w:tcPr>
          <w:p w14:paraId="40332899" w14:textId="77777777" w:rsidR="00F208C6" w:rsidRDefault="00F208C6"/>
        </w:tc>
      </w:tr>
      <w:tr w:rsidR="00F208C6" w14:paraId="3E30ADEE" w14:textId="77777777" w:rsidTr="00377C35">
        <w:trPr>
          <w:trHeight w:hRule="exact" w:val="100"/>
        </w:trPr>
        <w:tc>
          <w:tcPr>
            <w:tcW w:w="10717" w:type="dxa"/>
            <w:gridSpan w:val="2"/>
          </w:tcPr>
          <w:p w14:paraId="4DAE9902" w14:textId="77777777" w:rsidR="00F208C6" w:rsidRDefault="00F208C6"/>
        </w:tc>
      </w:tr>
      <w:tr w:rsidR="00F208C6" w14:paraId="7D14641A" w14:textId="77777777" w:rsidTr="00377C35">
        <w:trPr>
          <w:trHeight w:hRule="exact" w:val="2773"/>
        </w:trPr>
        <w:tc>
          <w:tcPr>
            <w:tcW w:w="10717" w:type="dxa"/>
            <w:gridSpan w:val="2"/>
            <w:tcMar>
              <w:top w:w="72" w:type="dxa"/>
              <w:left w:w="72" w:type="dxa"/>
              <w:right w:w="72" w:type="dxa"/>
            </w:tcMar>
          </w:tcPr>
          <w:p w14:paraId="6C8D52E2" w14:textId="77777777" w:rsidR="00F208C6" w:rsidRPr="00377C35" w:rsidRDefault="00F208C6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4B196A0" w14:textId="77777777" w:rsidR="00F208C6" w:rsidRPr="00377C3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377C35">
              <w:rPr>
                <w:rFonts w:ascii="Arial" w:eastAsia="Arial" w:hAnsi="Arial" w:cs="Arial"/>
                <w:spacing w:val="-2"/>
                <w:sz w:val="22"/>
                <w:szCs w:val="22"/>
              </w:rPr>
              <w:t>1) Počet nedoplatků odepsaných pro nedobytnost jednotlivě v letech 2023, 2024 a 2025</w:t>
            </w:r>
          </w:p>
          <w:p w14:paraId="2BEC289B" w14:textId="77777777" w:rsidR="00F208C6" w:rsidRPr="00377C35" w:rsidRDefault="00F208C6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DDE89CB" w14:textId="77777777" w:rsidR="00F208C6" w:rsidRPr="00377C3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377C35">
              <w:rPr>
                <w:rFonts w:ascii="Arial" w:eastAsia="Arial" w:hAnsi="Arial" w:cs="Arial"/>
                <w:spacing w:val="-2"/>
                <w:sz w:val="22"/>
                <w:szCs w:val="22"/>
              </w:rPr>
              <w:t>2) Počet nedoplatků zaniklých po uplynutí lhůty pro placení daně v letech 2023,2024 a 2025.</w:t>
            </w:r>
          </w:p>
          <w:p w14:paraId="7D58EF28" w14:textId="77777777" w:rsidR="00F208C6" w:rsidRPr="00377C35" w:rsidRDefault="00F208C6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7DBDD7F" w14:textId="77777777" w:rsidR="00F208C6" w:rsidRPr="00377C3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377C35">
              <w:rPr>
                <w:rFonts w:ascii="Arial" w:eastAsia="Arial" w:hAnsi="Arial" w:cs="Arial"/>
                <w:spacing w:val="-2"/>
                <w:sz w:val="22"/>
                <w:szCs w:val="22"/>
              </w:rPr>
              <w:t>3) Metodické materiály týkající se podmínek pro zařazení nedoplatku k odpisu pro nedobytnost (jelikož tyto nepochybně dopadají do práv a právem chráněných zájmů osob stojících mimo správu – nejde tedy o výluku podle § 11 odst.1 písm a) ZoSvInf).</w:t>
            </w:r>
          </w:p>
          <w:p w14:paraId="28CD36AB" w14:textId="77777777" w:rsidR="00F208C6" w:rsidRPr="00377C35" w:rsidRDefault="00F208C6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63B6F651" w14:textId="77777777" w:rsidR="00F208C6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 w:rsidRPr="00377C35">
              <w:rPr>
                <w:rFonts w:ascii="Arial" w:eastAsia="Arial" w:hAnsi="Arial" w:cs="Arial"/>
                <w:spacing w:val="-2"/>
                <w:sz w:val="22"/>
                <w:szCs w:val="22"/>
              </w:rPr>
              <w:t>4) Počet nedoplatků odepsaných jednotlivě v roce 2023 a 2024, které byly následně obnoveny a vymoženy (a to do dne podání žádosti či do konce měsíce předcházejícího dni podání žádosti).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</w:p>
        </w:tc>
      </w:tr>
      <w:tr w:rsidR="00F208C6" w14:paraId="479539EB" w14:textId="77777777" w:rsidTr="00377C35">
        <w:trPr>
          <w:trHeight w:hRule="exact" w:val="458"/>
        </w:trPr>
        <w:tc>
          <w:tcPr>
            <w:tcW w:w="3725" w:type="dxa"/>
          </w:tcPr>
          <w:p w14:paraId="1D191BDB" w14:textId="77777777" w:rsidR="00F208C6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Odpověď:</w:t>
            </w:r>
          </w:p>
        </w:tc>
        <w:tc>
          <w:tcPr>
            <w:tcW w:w="6992" w:type="dxa"/>
          </w:tcPr>
          <w:p w14:paraId="674E72C1" w14:textId="77777777" w:rsidR="00F208C6" w:rsidRDefault="00F208C6"/>
        </w:tc>
      </w:tr>
      <w:tr w:rsidR="00F208C6" w14:paraId="03FF5AEA" w14:textId="77777777" w:rsidTr="00377C35">
        <w:trPr>
          <w:trHeight w:hRule="exact" w:val="101"/>
        </w:trPr>
        <w:tc>
          <w:tcPr>
            <w:tcW w:w="10717" w:type="dxa"/>
            <w:gridSpan w:val="2"/>
          </w:tcPr>
          <w:p w14:paraId="42DBC41D" w14:textId="77777777" w:rsidR="00F208C6" w:rsidRDefault="00F208C6"/>
        </w:tc>
      </w:tr>
      <w:tr w:rsidR="00F208C6" w14:paraId="321CDA0C" w14:textId="77777777" w:rsidTr="00377C35">
        <w:trPr>
          <w:trHeight w:hRule="exact" w:val="4408"/>
        </w:trPr>
        <w:tc>
          <w:tcPr>
            <w:tcW w:w="10717" w:type="dxa"/>
            <w:gridSpan w:val="2"/>
            <w:tcMar>
              <w:top w:w="72" w:type="dxa"/>
              <w:left w:w="72" w:type="dxa"/>
              <w:right w:w="72" w:type="dxa"/>
            </w:tcMar>
          </w:tcPr>
          <w:p w14:paraId="764F7655" w14:textId="77777777" w:rsidR="00F208C6" w:rsidRPr="00377C35" w:rsidRDefault="00F208C6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5637104" w14:textId="77777777" w:rsidR="00377C35" w:rsidRPr="00377C35" w:rsidRDefault="00377C35" w:rsidP="00377C35">
            <w:pPr>
              <w:autoSpaceDE w:val="0"/>
              <w:autoSpaceDN w:val="0"/>
              <w:adjustRightInd w:val="0"/>
              <w:spacing w:after="100" w:afterAutospacing="1"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77C35">
              <w:rPr>
                <w:rFonts w:ascii="Arial" w:hAnsi="Arial" w:cs="Arial"/>
                <w:color w:val="000000"/>
                <w:sz w:val="22"/>
                <w:szCs w:val="22"/>
              </w:rPr>
              <w:t xml:space="preserve">Povinný subjekt Vám poskytuje požadované informace a k poskytovanému je předně nutno připomenout následující. </w:t>
            </w:r>
          </w:p>
          <w:p w14:paraId="22F356C9" w14:textId="77777777" w:rsidR="00377C35" w:rsidRPr="00377C35" w:rsidRDefault="00377C35" w:rsidP="00377C35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7C35">
              <w:rPr>
                <w:rFonts w:ascii="Arial" w:hAnsi="Arial" w:cs="Arial"/>
                <w:b/>
                <w:bCs/>
                <w:sz w:val="22"/>
                <w:szCs w:val="22"/>
              </w:rPr>
              <w:t>Osobní daňový účet</w:t>
            </w:r>
          </w:p>
          <w:p w14:paraId="6C551690" w14:textId="77777777" w:rsidR="00377C35" w:rsidRPr="00377C35" w:rsidRDefault="00377C35" w:rsidP="00377C35">
            <w:pPr>
              <w:spacing w:after="100" w:afterAutospacing="1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C35">
              <w:rPr>
                <w:rFonts w:ascii="Arial" w:hAnsi="Arial" w:cs="Arial"/>
                <w:sz w:val="22"/>
                <w:szCs w:val="22"/>
              </w:rPr>
              <w:t xml:space="preserve">Finanční správa nevymáhá izolovanou pohledávku v pevně stanovené výši, ale </w:t>
            </w:r>
            <w:r w:rsidRPr="00377C3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aktuální saldo nedoplatku daňového subjektu evidované na jeho osobním daňovém účtu </w:t>
            </w:r>
            <w:r w:rsidRPr="00377C35">
              <w:rPr>
                <w:rFonts w:ascii="Arial" w:hAnsi="Arial" w:cs="Arial"/>
                <w:sz w:val="22"/>
                <w:szCs w:val="22"/>
              </w:rPr>
              <w:t xml:space="preserve">(dále jen „ODÚ“). ODÚ je veden samostatně pro každý daňový subjekt a jednotlivý druh daně a průběžně zachycuje vznik daňových povinností, jejich úhrady i další změny, včetně úplných či částečných odpisů nedoplatků pro nedobytnost. </w:t>
            </w:r>
            <w:r w:rsidRPr="00377C35">
              <w:rPr>
                <w:rFonts w:ascii="Arial" w:hAnsi="Arial" w:cs="Arial"/>
                <w:b/>
                <w:bCs/>
                <w:sz w:val="22"/>
                <w:szCs w:val="22"/>
              </w:rPr>
              <w:t>Výše nedoplatku proto není statická, ale v čase se průběžně mění v návaznosti na celkový stav ODÚ.</w:t>
            </w:r>
          </w:p>
          <w:p w14:paraId="336B2FFD" w14:textId="320C1928" w:rsidR="00F208C6" w:rsidRDefault="00377C35" w:rsidP="00377C35">
            <w:pPr>
              <w:spacing w:before="120" w:after="100" w:afterAutospacing="1" w:line="276" w:lineRule="auto"/>
              <w:jc w:val="both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 w:rsidRPr="00377C35">
              <w:rPr>
                <w:rFonts w:ascii="Arial" w:hAnsi="Arial" w:cs="Arial"/>
                <w:sz w:val="22"/>
                <w:szCs w:val="22"/>
              </w:rPr>
              <w:t xml:space="preserve">Tím se daňové vymáhání zásadně odlišuje od standardního exekučního řízení. Zatímco exekutor zpravidla vymáhá pohledávku vymezenou konkrétním exekučním titulem, </w:t>
            </w:r>
            <w:r w:rsidRPr="00377C35">
              <w:rPr>
                <w:rFonts w:ascii="Arial" w:hAnsi="Arial" w:cs="Arial"/>
                <w:b/>
                <w:bCs/>
                <w:sz w:val="22"/>
                <w:szCs w:val="22"/>
              </w:rPr>
              <w:t>Finanční správa spravuje a vymáhá dynamické saldo nedoplatku daňového subjektu</w:t>
            </w:r>
            <w:r w:rsidRPr="00377C35">
              <w:rPr>
                <w:rFonts w:ascii="Arial" w:hAnsi="Arial" w:cs="Arial"/>
                <w:sz w:val="22"/>
                <w:szCs w:val="22"/>
              </w:rPr>
              <w:t xml:space="preserve">, které se průběžně vyvíjí v závislosti na vzniku nových daňových povinností, úhradách a dalších skutečnostech ovlivňujících stav </w:t>
            </w:r>
            <w:proofErr w:type="gramStart"/>
            <w:r w:rsidRPr="00377C35">
              <w:rPr>
                <w:rFonts w:ascii="Arial" w:hAnsi="Arial" w:cs="Arial"/>
                <w:sz w:val="22"/>
                <w:szCs w:val="22"/>
              </w:rPr>
              <w:t>ODÚ.</w:t>
            </w:r>
            <w:r w:rsidR="00000000" w:rsidRPr="00377C35">
              <w:rPr>
                <w:rFonts w:ascii="Arial" w:eastAsia="Arial" w:hAnsi="Arial" w:cs="Arial"/>
                <w:spacing w:val="-2"/>
                <w:sz w:val="22"/>
                <w:szCs w:val="22"/>
              </w:rPr>
              <w:t>.</w:t>
            </w:r>
            <w:proofErr w:type="gramEnd"/>
            <w:r w:rsidR="00000000"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</w:p>
        </w:tc>
      </w:tr>
    </w:tbl>
    <w:p w14:paraId="6C8B9CDF" w14:textId="77777777" w:rsidR="00000000" w:rsidRDefault="00000000"/>
    <w:p w14:paraId="203977E2" w14:textId="77777777" w:rsidR="00377C35" w:rsidRDefault="00377C35"/>
    <w:p w14:paraId="69CE8577" w14:textId="77777777" w:rsidR="00377C35" w:rsidRDefault="00377C35"/>
    <w:p w14:paraId="4EE1A686" w14:textId="77777777" w:rsidR="00377C35" w:rsidRPr="00377C35" w:rsidRDefault="00377C35">
      <w:pPr>
        <w:rPr>
          <w:rFonts w:ascii="Arial" w:hAnsi="Arial" w:cs="Arial"/>
          <w:sz w:val="22"/>
          <w:szCs w:val="22"/>
        </w:rPr>
      </w:pPr>
    </w:p>
    <w:p w14:paraId="788CE13B" w14:textId="77777777" w:rsidR="00377C35" w:rsidRPr="00377C35" w:rsidRDefault="00377C35" w:rsidP="00377C35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377C35">
        <w:rPr>
          <w:rFonts w:ascii="Arial" w:hAnsi="Arial" w:cs="Arial"/>
          <w:b/>
          <w:bCs/>
          <w:sz w:val="22"/>
          <w:szCs w:val="22"/>
        </w:rPr>
        <w:t>Odpis nedoplatku pro nedobytnost</w:t>
      </w:r>
    </w:p>
    <w:p w14:paraId="4FA98F77" w14:textId="77777777" w:rsidR="00377C35" w:rsidRPr="00377C35" w:rsidRDefault="00377C35" w:rsidP="00377C35">
      <w:p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377C35">
        <w:rPr>
          <w:rFonts w:ascii="Arial" w:hAnsi="Arial" w:cs="Arial"/>
          <w:sz w:val="22"/>
          <w:szCs w:val="22"/>
        </w:rPr>
        <w:t xml:space="preserve">Odpis nedoplatku podle § 158 zákona č. 280/2009 Sb., daňový řád (dále jen „DŘ“), představuje především </w:t>
      </w:r>
      <w:r w:rsidRPr="00377C35">
        <w:rPr>
          <w:rFonts w:ascii="Arial" w:hAnsi="Arial" w:cs="Arial"/>
          <w:b/>
          <w:bCs/>
          <w:sz w:val="22"/>
          <w:szCs w:val="22"/>
        </w:rPr>
        <w:t>evidenční nástroj umožňující reálnější vyjádření dobytných pohledávek a příjmového potenciálu veřejných rozpočtů</w:t>
      </w:r>
      <w:r w:rsidRPr="00377C35">
        <w:rPr>
          <w:rFonts w:ascii="Arial" w:hAnsi="Arial" w:cs="Arial"/>
          <w:sz w:val="22"/>
          <w:szCs w:val="22"/>
        </w:rPr>
        <w:t>. Odpisem nedochází k zániku daňové povinnosti ani ke změně práv a povinností daňového subjektu.</w:t>
      </w:r>
    </w:p>
    <w:p w14:paraId="36F1ABF6" w14:textId="77777777" w:rsidR="00377C35" w:rsidRPr="00377C35" w:rsidRDefault="00377C35" w:rsidP="00377C35">
      <w:pPr>
        <w:spacing w:before="120"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377C35">
        <w:rPr>
          <w:rFonts w:ascii="Arial" w:hAnsi="Arial" w:cs="Arial"/>
          <w:b/>
          <w:bCs/>
          <w:sz w:val="22"/>
          <w:szCs w:val="22"/>
        </w:rPr>
        <w:t>Odepsaný nedoplatek nadále existuje až do jeho úhrady nebo zániku uplynutím lhůty pro placení daně.</w:t>
      </w:r>
      <w:r w:rsidRPr="00377C35">
        <w:rPr>
          <w:rFonts w:ascii="Arial" w:hAnsi="Arial" w:cs="Arial"/>
          <w:sz w:val="22"/>
          <w:szCs w:val="22"/>
        </w:rPr>
        <w:t xml:space="preserve"> V potvrzení o stavu osobního daňového účtu se proto podle § 151 DŘ nadále projeví jako nedoplatek.</w:t>
      </w:r>
    </w:p>
    <w:p w14:paraId="705ECD23" w14:textId="77777777" w:rsidR="00377C35" w:rsidRPr="00377C35" w:rsidRDefault="00377C35" w:rsidP="00377C35">
      <w:pPr>
        <w:spacing w:before="120"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377C35">
        <w:rPr>
          <w:rFonts w:ascii="Arial" w:hAnsi="Arial" w:cs="Arial"/>
          <w:sz w:val="22"/>
          <w:szCs w:val="22"/>
        </w:rPr>
        <w:t xml:space="preserve">Odpis současně </w:t>
      </w:r>
      <w:r w:rsidRPr="00377C35">
        <w:rPr>
          <w:rFonts w:ascii="Arial" w:hAnsi="Arial" w:cs="Arial"/>
          <w:b/>
          <w:bCs/>
          <w:sz w:val="22"/>
          <w:szCs w:val="22"/>
        </w:rPr>
        <w:t>neznamená ukončení činnosti správce daně ve vztahu k danému nedoplatku</w:t>
      </w:r>
      <w:r w:rsidRPr="00377C35">
        <w:rPr>
          <w:rFonts w:ascii="Arial" w:hAnsi="Arial" w:cs="Arial"/>
          <w:sz w:val="22"/>
          <w:szCs w:val="22"/>
        </w:rPr>
        <w:t>. Správci daně nadále průběžně prověřují majetkové poměry daňových subjektů. Jsou-li následně zjištěna aktiva umožňující úhradu nedoplatku, je odepsaný nedoplatek opětovně aktivován a je přistoupeno k jeho dalšímu vymáhání.</w:t>
      </w:r>
    </w:p>
    <w:p w14:paraId="7FF0B092" w14:textId="77777777" w:rsidR="00377C35" w:rsidRPr="00377C35" w:rsidRDefault="00377C35" w:rsidP="00377C35">
      <w:pPr>
        <w:spacing w:before="120"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377C35">
        <w:rPr>
          <w:rFonts w:ascii="Arial" w:hAnsi="Arial" w:cs="Arial"/>
          <w:sz w:val="22"/>
          <w:szCs w:val="22"/>
        </w:rPr>
        <w:t xml:space="preserve">K opětovné aktivaci může dojít rovněž z </w:t>
      </w:r>
      <w:proofErr w:type="spellStart"/>
      <w:r w:rsidRPr="00377C35">
        <w:rPr>
          <w:rFonts w:ascii="Arial" w:hAnsi="Arial" w:cs="Arial"/>
          <w:sz w:val="22"/>
          <w:szCs w:val="22"/>
        </w:rPr>
        <w:t>technicko-evidenčních</w:t>
      </w:r>
      <w:proofErr w:type="spellEnd"/>
      <w:r w:rsidRPr="00377C35">
        <w:rPr>
          <w:rFonts w:ascii="Arial" w:hAnsi="Arial" w:cs="Arial"/>
          <w:sz w:val="22"/>
          <w:szCs w:val="22"/>
        </w:rPr>
        <w:t xml:space="preserve"> důvodů, například při potřebě provést odpis další části téhož nedoplatku. Po provedení příslušného úkonu je nedobytná část nedoplatku opět odepsána.</w:t>
      </w:r>
    </w:p>
    <w:p w14:paraId="4FB2D0CB" w14:textId="77777777" w:rsidR="00377C35" w:rsidRPr="00377C35" w:rsidRDefault="00377C35" w:rsidP="00377C35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377C35">
        <w:rPr>
          <w:rFonts w:ascii="Arial" w:hAnsi="Arial" w:cs="Arial"/>
          <w:b/>
          <w:bCs/>
          <w:sz w:val="22"/>
          <w:szCs w:val="22"/>
        </w:rPr>
        <w:t xml:space="preserve">Evidence v informačním systému </w:t>
      </w:r>
    </w:p>
    <w:p w14:paraId="1A00CA0C" w14:textId="77777777" w:rsidR="00377C35" w:rsidRPr="00377C35" w:rsidRDefault="00377C35" w:rsidP="00377C35">
      <w:p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377C35">
        <w:rPr>
          <w:rFonts w:ascii="Arial" w:hAnsi="Arial" w:cs="Arial"/>
          <w:sz w:val="22"/>
          <w:szCs w:val="22"/>
        </w:rPr>
        <w:t xml:space="preserve">V automatizovaném daňovém informačním systému Finanční správy (dále jen „ADIS“) jsou jednotlivé pohyby evidovány prostřednictvím předpisných a </w:t>
      </w:r>
      <w:proofErr w:type="spellStart"/>
      <w:r w:rsidRPr="00377C35">
        <w:rPr>
          <w:rFonts w:ascii="Arial" w:hAnsi="Arial" w:cs="Arial"/>
          <w:sz w:val="22"/>
          <w:szCs w:val="22"/>
        </w:rPr>
        <w:t>odpisných</w:t>
      </w:r>
      <w:proofErr w:type="spellEnd"/>
      <w:r w:rsidRPr="00377C35">
        <w:rPr>
          <w:rFonts w:ascii="Arial" w:hAnsi="Arial" w:cs="Arial"/>
          <w:sz w:val="22"/>
          <w:szCs w:val="22"/>
        </w:rPr>
        <w:t xml:space="preserve"> vět (dále jen „POV“). Každá POV má unikátní identifikátor a je navázána na konkrétní daňový doklad.</w:t>
      </w:r>
    </w:p>
    <w:p w14:paraId="2B540115" w14:textId="77777777" w:rsidR="00377C35" w:rsidRPr="00377C35" w:rsidRDefault="00377C35" w:rsidP="00377C35">
      <w:pPr>
        <w:spacing w:before="120"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377C35">
        <w:rPr>
          <w:rFonts w:ascii="Arial" w:hAnsi="Arial" w:cs="Arial"/>
          <w:b/>
          <w:bCs/>
          <w:sz w:val="22"/>
          <w:szCs w:val="22"/>
        </w:rPr>
        <w:lastRenderedPageBreak/>
        <w:t>Předpisná věta</w:t>
      </w:r>
      <w:r w:rsidRPr="00377C35">
        <w:rPr>
          <w:rFonts w:ascii="Arial" w:hAnsi="Arial" w:cs="Arial"/>
          <w:sz w:val="22"/>
          <w:szCs w:val="22"/>
        </w:rPr>
        <w:t xml:space="preserve"> zachycuje vznik nebo zvýšení daňové povinnosti daňového subjektu.</w:t>
      </w:r>
    </w:p>
    <w:p w14:paraId="50BA4A7C" w14:textId="77777777" w:rsidR="00377C35" w:rsidRPr="00377C35" w:rsidRDefault="00377C35" w:rsidP="00377C35">
      <w:pPr>
        <w:spacing w:before="120"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proofErr w:type="spellStart"/>
      <w:r w:rsidRPr="00377C35">
        <w:rPr>
          <w:rFonts w:ascii="Arial" w:hAnsi="Arial" w:cs="Arial"/>
          <w:b/>
          <w:bCs/>
          <w:sz w:val="22"/>
          <w:szCs w:val="22"/>
        </w:rPr>
        <w:t>Odpisná</w:t>
      </w:r>
      <w:proofErr w:type="spellEnd"/>
      <w:r w:rsidRPr="00377C35">
        <w:rPr>
          <w:rFonts w:ascii="Arial" w:hAnsi="Arial" w:cs="Arial"/>
          <w:b/>
          <w:bCs/>
          <w:sz w:val="22"/>
          <w:szCs w:val="22"/>
        </w:rPr>
        <w:t xml:space="preserve"> věta</w:t>
      </w:r>
      <w:r w:rsidRPr="00377C35">
        <w:rPr>
          <w:rFonts w:ascii="Arial" w:hAnsi="Arial" w:cs="Arial"/>
          <w:sz w:val="22"/>
          <w:szCs w:val="22"/>
        </w:rPr>
        <w:t xml:space="preserve"> zachycuje skutečnosti snižující nebo jinak měnící evidovaný stav na ODÚ, například úhradu daně, přeplatek, vrácení či prominutí daně nebo odpis nedoplatku pro nedobytnost.</w:t>
      </w:r>
    </w:p>
    <w:p w14:paraId="15C8584F" w14:textId="77777777" w:rsidR="00377C35" w:rsidRPr="00377C35" w:rsidRDefault="00377C35" w:rsidP="00377C35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377C35">
        <w:rPr>
          <w:rFonts w:ascii="Arial" w:hAnsi="Arial" w:cs="Arial"/>
          <w:b/>
          <w:bCs/>
          <w:sz w:val="22"/>
          <w:szCs w:val="22"/>
        </w:rPr>
        <w:t>Povinnost správce daně</w:t>
      </w:r>
    </w:p>
    <w:p w14:paraId="41F07955" w14:textId="77777777" w:rsidR="00377C35" w:rsidRPr="00377C35" w:rsidRDefault="00377C35" w:rsidP="00377C35">
      <w:p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377C35">
        <w:rPr>
          <w:rFonts w:ascii="Arial" w:hAnsi="Arial" w:cs="Arial"/>
          <w:sz w:val="22"/>
          <w:szCs w:val="22"/>
        </w:rPr>
        <w:t xml:space="preserve">Správce daně je povinen </w:t>
      </w:r>
      <w:r w:rsidRPr="00377C35">
        <w:rPr>
          <w:rFonts w:ascii="Arial" w:hAnsi="Arial" w:cs="Arial"/>
          <w:b/>
          <w:bCs/>
          <w:sz w:val="22"/>
          <w:szCs w:val="22"/>
        </w:rPr>
        <w:t>průběžně vyhodnocovat splnění podmínek pro odpis nedobytných nedoplatků podle § 158 DŘ</w:t>
      </w:r>
      <w:r w:rsidRPr="00377C35">
        <w:rPr>
          <w:rFonts w:ascii="Arial" w:hAnsi="Arial" w:cs="Arial"/>
          <w:sz w:val="22"/>
          <w:szCs w:val="22"/>
        </w:rPr>
        <w:t xml:space="preserve"> a při jejich naplnění provést z moci úřední úplný nebo částečný odpis. Posouzení musí vždy vycházet z individuálních okolností konkrétního případu a ze všech dostupných informací o majetkové situaci daňového subjektu.</w:t>
      </w:r>
    </w:p>
    <w:p w14:paraId="416B9948" w14:textId="77777777" w:rsidR="00377C35" w:rsidRPr="00377C35" w:rsidRDefault="00377C35" w:rsidP="00377C35">
      <w:pPr>
        <w:spacing w:before="120"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377C35">
        <w:rPr>
          <w:rFonts w:ascii="Arial" w:hAnsi="Arial" w:cs="Arial"/>
          <w:sz w:val="22"/>
          <w:szCs w:val="22"/>
        </w:rPr>
        <w:t xml:space="preserve">Základním předpokladem pro odpis je provedení odpovídajících úkonů směřujících ke zjištění majetku a možností úhrady nedoplatku. Při tomto posouzení využívají pracovníci Finanční správy rovněž </w:t>
      </w:r>
      <w:r w:rsidRPr="00377C35">
        <w:rPr>
          <w:rFonts w:ascii="Arial" w:hAnsi="Arial" w:cs="Arial"/>
          <w:b/>
          <w:bCs/>
          <w:sz w:val="22"/>
          <w:szCs w:val="22"/>
        </w:rPr>
        <w:t>Aplikaci podpory exekucí (APEX)</w:t>
      </w:r>
      <w:r w:rsidRPr="00377C35">
        <w:rPr>
          <w:rFonts w:ascii="Arial" w:hAnsi="Arial" w:cs="Arial"/>
          <w:sz w:val="22"/>
          <w:szCs w:val="22"/>
        </w:rPr>
        <w:t>, která podporuje základní prověření majetkových poměrů dlužníka.</w:t>
      </w:r>
    </w:p>
    <w:p w14:paraId="57E42C1B" w14:textId="77777777" w:rsidR="00377C35" w:rsidRPr="00377C35" w:rsidRDefault="00377C35" w:rsidP="00377C35">
      <w:pPr>
        <w:spacing w:before="120"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377C35">
        <w:rPr>
          <w:rFonts w:ascii="Arial" w:hAnsi="Arial" w:cs="Arial"/>
          <w:b/>
          <w:bCs/>
          <w:sz w:val="22"/>
          <w:szCs w:val="22"/>
        </w:rPr>
        <w:t>Z pohledu řízení vymáhání je proto nutné odpis nedoplatku vnímat nikoli jako ukončení vymáhání, ale jako průběžný nástroj správy portfolia daňových nedoplatků, jehož cílem je oddělit aktuálně dobytné a nedobytné pohledávky při zachování možnosti jejich následného vymáhání.</w:t>
      </w:r>
    </w:p>
    <w:p w14:paraId="677CF68D" w14:textId="77777777" w:rsidR="00377C35" w:rsidRPr="00377C35" w:rsidRDefault="00377C35" w:rsidP="00377C35">
      <w:pPr>
        <w:spacing w:after="100" w:afterAutospacing="1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377C35">
        <w:rPr>
          <w:rFonts w:ascii="Arial" w:hAnsi="Arial" w:cs="Arial"/>
          <w:b/>
          <w:bCs/>
          <w:sz w:val="22"/>
          <w:szCs w:val="22"/>
        </w:rPr>
        <w:t xml:space="preserve">1) Počet nedoplatků odepsaných pro nedobytnost jednotlivě v letech 2023, 2024 a 2025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4"/>
        <w:gridCol w:w="1384"/>
        <w:gridCol w:w="1384"/>
        <w:gridCol w:w="1380"/>
      </w:tblGrid>
      <w:tr w:rsidR="00377C35" w:rsidRPr="00377C35" w14:paraId="4DF5AE95" w14:textId="77777777" w:rsidTr="00DD1223">
        <w:trPr>
          <w:trHeight w:val="276"/>
        </w:trPr>
        <w:tc>
          <w:tcPr>
            <w:tcW w:w="3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400B6AE5" w14:textId="77777777" w:rsidR="00377C35" w:rsidRPr="00377C35" w:rsidRDefault="00377C35" w:rsidP="00DD122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Rok zaúčtování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1110ADB5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2023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47E4BC6A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2024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2D1D092C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2025</w:t>
            </w:r>
          </w:p>
        </w:tc>
      </w:tr>
      <w:tr w:rsidR="00377C35" w:rsidRPr="00377C35" w14:paraId="36926AB6" w14:textId="77777777" w:rsidTr="00DD1223">
        <w:trPr>
          <w:trHeight w:val="276"/>
        </w:trPr>
        <w:tc>
          <w:tcPr>
            <w:tcW w:w="3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75C8C" w14:textId="77777777" w:rsidR="00377C35" w:rsidRPr="00377C35" w:rsidRDefault="00377C35" w:rsidP="00DD122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nedoplatky odepsané pro nedobytnost – počet ODÚ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65F92" w14:textId="77777777" w:rsidR="00377C35" w:rsidRPr="00377C35" w:rsidRDefault="00377C35" w:rsidP="00DD1223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52 327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D2F6A" w14:textId="77777777" w:rsidR="00377C35" w:rsidRPr="00377C35" w:rsidRDefault="00377C35" w:rsidP="00DD1223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42 617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0EB5E" w14:textId="77777777" w:rsidR="00377C35" w:rsidRPr="00377C35" w:rsidRDefault="00377C35" w:rsidP="00DD1223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44 442</w:t>
            </w:r>
          </w:p>
        </w:tc>
      </w:tr>
      <w:tr w:rsidR="00377C35" w:rsidRPr="00377C35" w14:paraId="6599546D" w14:textId="77777777" w:rsidTr="00DD1223">
        <w:trPr>
          <w:trHeight w:val="276"/>
        </w:trPr>
        <w:tc>
          <w:tcPr>
            <w:tcW w:w="3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4A1BC" w14:textId="77777777" w:rsidR="00377C35" w:rsidRPr="00377C35" w:rsidRDefault="00377C35" w:rsidP="00DD122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nedoplatky odepsané pro nedobytnost – počet POV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D6610" w14:textId="77777777" w:rsidR="00377C35" w:rsidRPr="00377C35" w:rsidRDefault="00377C35" w:rsidP="00DD1223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3 432 705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15990" w14:textId="77777777" w:rsidR="00377C35" w:rsidRPr="00377C35" w:rsidRDefault="00377C35" w:rsidP="00DD1223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2 366 207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5DCEE" w14:textId="77777777" w:rsidR="00377C35" w:rsidRPr="00377C35" w:rsidRDefault="00377C35" w:rsidP="00DD1223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2 710 152</w:t>
            </w:r>
          </w:p>
        </w:tc>
      </w:tr>
    </w:tbl>
    <w:p w14:paraId="4648BBC1" w14:textId="77777777" w:rsidR="00377C35" w:rsidRPr="00377C35" w:rsidRDefault="00377C35" w:rsidP="00377C35">
      <w:pPr>
        <w:spacing w:after="100" w:afterAutospacing="1" w:line="276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77C3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Zdroj: ADIS FS</w:t>
      </w:r>
    </w:p>
    <w:p w14:paraId="6F57B300" w14:textId="77777777" w:rsidR="00377C35" w:rsidRPr="00377C35" w:rsidRDefault="00377C35" w:rsidP="00377C35">
      <w:p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377C35">
        <w:rPr>
          <w:rFonts w:ascii="Arial" w:hAnsi="Arial" w:cs="Arial"/>
          <w:b/>
          <w:bCs/>
          <w:sz w:val="22"/>
          <w:szCs w:val="22"/>
        </w:rPr>
        <w:t>2) Počet nedoplatků zaniklých po uplynutí lhůty pro placení daně v letech 2023, 2024 a 2025.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1"/>
        <w:gridCol w:w="1601"/>
        <w:gridCol w:w="1601"/>
        <w:gridCol w:w="1599"/>
      </w:tblGrid>
      <w:tr w:rsidR="00377C35" w:rsidRPr="00377C35" w14:paraId="71E6DF53" w14:textId="77777777" w:rsidTr="00DD1223">
        <w:trPr>
          <w:trHeight w:val="276"/>
        </w:trPr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127B09AE" w14:textId="77777777" w:rsidR="00377C35" w:rsidRPr="00377C35" w:rsidRDefault="00377C35" w:rsidP="00DD122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Rok zaúčtování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152F034C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2023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479E3F18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2024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1CE7564F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2025</w:t>
            </w:r>
          </w:p>
        </w:tc>
      </w:tr>
      <w:tr w:rsidR="00377C35" w:rsidRPr="00377C35" w14:paraId="2D5B24C7" w14:textId="77777777" w:rsidTr="00DD1223">
        <w:trPr>
          <w:trHeight w:val="276"/>
        </w:trPr>
        <w:tc>
          <w:tcPr>
            <w:tcW w:w="2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2700F" w14:textId="77777777" w:rsidR="00377C35" w:rsidRPr="00377C35" w:rsidRDefault="00377C35" w:rsidP="00DD122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prekludované nedoplatky – počet ODÚ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1C17E" w14:textId="77777777" w:rsidR="00377C35" w:rsidRPr="00377C35" w:rsidRDefault="00377C35" w:rsidP="00DD1223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76 655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8FB00" w14:textId="77777777" w:rsidR="00377C35" w:rsidRPr="00377C35" w:rsidRDefault="00377C35" w:rsidP="00DD1223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63 803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2357F" w14:textId="77777777" w:rsidR="00377C35" w:rsidRPr="00377C35" w:rsidRDefault="00377C35" w:rsidP="00DD1223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70 896</w:t>
            </w:r>
          </w:p>
        </w:tc>
      </w:tr>
      <w:tr w:rsidR="00377C35" w:rsidRPr="00377C35" w14:paraId="51ED3434" w14:textId="77777777" w:rsidTr="00DD1223">
        <w:trPr>
          <w:trHeight w:val="276"/>
        </w:trPr>
        <w:tc>
          <w:tcPr>
            <w:tcW w:w="2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E9F64" w14:textId="77777777" w:rsidR="00377C35" w:rsidRPr="00377C35" w:rsidRDefault="00377C35" w:rsidP="00DD122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prekludované nedoplatky – počet POV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5828B" w14:textId="77777777" w:rsidR="00377C35" w:rsidRPr="00377C35" w:rsidRDefault="00377C35" w:rsidP="00DD1223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1 818 923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DBF59" w14:textId="77777777" w:rsidR="00377C35" w:rsidRPr="00377C35" w:rsidRDefault="00377C35" w:rsidP="00DD1223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1 636 612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2A3A8" w14:textId="77777777" w:rsidR="00377C35" w:rsidRPr="00377C35" w:rsidRDefault="00377C35" w:rsidP="00DD1223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1 766 045</w:t>
            </w:r>
          </w:p>
        </w:tc>
      </w:tr>
    </w:tbl>
    <w:p w14:paraId="13F8965F" w14:textId="77777777" w:rsidR="00377C35" w:rsidRPr="00377C35" w:rsidRDefault="00377C35" w:rsidP="00377C35">
      <w:pPr>
        <w:spacing w:after="100" w:afterAutospacing="1" w:line="276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77C3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Zdroj: ADIS FS</w:t>
      </w:r>
    </w:p>
    <w:p w14:paraId="42AD6811" w14:textId="77777777" w:rsidR="00377C35" w:rsidRPr="00377C35" w:rsidRDefault="00377C35" w:rsidP="00377C35">
      <w:pPr>
        <w:spacing w:after="100" w:afterAutospacing="1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377C35">
        <w:rPr>
          <w:rFonts w:ascii="Arial" w:hAnsi="Arial" w:cs="Arial"/>
          <w:b/>
          <w:bCs/>
          <w:sz w:val="22"/>
          <w:szCs w:val="22"/>
        </w:rPr>
        <w:t>3) Metodické materiály týkající se podmínek pro zařazení nedoplatku k odpisu pro nedobytnost</w:t>
      </w:r>
    </w:p>
    <w:p w14:paraId="117E3ECD" w14:textId="77777777" w:rsidR="00377C35" w:rsidRPr="00377C35" w:rsidRDefault="00377C35" w:rsidP="00377C35">
      <w:p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377C35">
        <w:rPr>
          <w:rFonts w:ascii="Arial" w:hAnsi="Arial" w:cs="Arial"/>
          <w:sz w:val="22"/>
          <w:szCs w:val="22"/>
        </w:rPr>
        <w:t xml:space="preserve">Odpisy pro nedobytnost jsou aktuálně ve Finanční správě metodicky upraveny Taktickým postupem k provádění odpisu nedoplatku pro nedobytnost, č. j. 101/22/7700-30132-202757. </w:t>
      </w:r>
    </w:p>
    <w:p w14:paraId="333C0428" w14:textId="77777777" w:rsidR="00377C35" w:rsidRPr="00377C35" w:rsidRDefault="00377C35" w:rsidP="00377C35">
      <w:pPr>
        <w:spacing w:after="100" w:afterAutospacing="1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377C35">
        <w:rPr>
          <w:rFonts w:ascii="Arial" w:hAnsi="Arial" w:cs="Arial"/>
          <w:b/>
          <w:bCs/>
          <w:sz w:val="22"/>
          <w:szCs w:val="22"/>
        </w:rPr>
        <w:t>4) Počet nedoplatků odepsaných jednotlivě v roce 2023 a 2024, které byly následně obnoveny a vymoženy (a to do dne podání žádosti či do konce měsíce předcházejícího dni podání žádosti).</w:t>
      </w:r>
    </w:p>
    <w:p w14:paraId="20784986" w14:textId="77777777" w:rsidR="00377C35" w:rsidRPr="00377C35" w:rsidRDefault="00377C35" w:rsidP="00377C35">
      <w:pPr>
        <w:spacing w:before="120"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377C35">
        <w:rPr>
          <w:rFonts w:ascii="Arial" w:hAnsi="Arial" w:cs="Arial"/>
          <w:sz w:val="22"/>
          <w:szCs w:val="22"/>
        </w:rPr>
        <w:t>Požadovaná data o úhradě a vymožení jednotlivého obnoveného nedoplatku (POV) nelze poskytnout vzhledem k nemožnosti rekonstruovat historii odepisování a obnovování nedoplatku v ADIS. Tento proces se může i opakovat, resp. po obnovení odepsaného nedoplatku je odepsána jiná výše nedoplatku a ten může být následně opět obnoven.</w:t>
      </w:r>
    </w:p>
    <w:p w14:paraId="41A96F19" w14:textId="77777777" w:rsidR="00377C35" w:rsidRPr="00377C35" w:rsidRDefault="00377C35" w:rsidP="00377C35">
      <w:p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377C35">
        <w:rPr>
          <w:rFonts w:ascii="Arial" w:hAnsi="Arial" w:cs="Arial"/>
          <w:sz w:val="22"/>
          <w:szCs w:val="22"/>
        </w:rPr>
        <w:t>Poskytujeme tedy proto výběr došlých plateb, které byly detekovány u daňových subjektů a druhů příjmů, na kterých byla provedena obnova nedoplatku v roce 2023 a 2024. Jsou to počty „běžných plateb“ a „plateb z exekuce“. Nelze však určit, zda byly tyto platby následně použity na úhradu obnoveného nedoplatku.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2"/>
        <w:gridCol w:w="1881"/>
        <w:gridCol w:w="1879"/>
      </w:tblGrid>
      <w:tr w:rsidR="00377C35" w:rsidRPr="00377C35" w14:paraId="0D347E83" w14:textId="77777777" w:rsidTr="00DD1223">
        <w:trPr>
          <w:trHeight w:val="276"/>
        </w:trPr>
        <w:tc>
          <w:tcPr>
            <w:tcW w:w="3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1C17EE9F" w14:textId="77777777" w:rsidR="00377C35" w:rsidRPr="00377C35" w:rsidRDefault="00377C35" w:rsidP="00DD122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Rok odpisu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5D2A09C0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2023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30C4E93C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2024</w:t>
            </w:r>
          </w:p>
        </w:tc>
      </w:tr>
      <w:tr w:rsidR="00377C35" w:rsidRPr="00377C35" w14:paraId="59E8ACFF" w14:textId="77777777" w:rsidTr="00DD1223">
        <w:trPr>
          <w:trHeight w:val="552"/>
        </w:trPr>
        <w:tc>
          <w:tcPr>
            <w:tcW w:w="3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627A8" w14:textId="77777777" w:rsidR="00377C35" w:rsidRPr="00377C35" w:rsidRDefault="00377C35" w:rsidP="00DD122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Nedoplatky odepsané jednotlivě v roce 2023 a 2024, které byly následně obnoveny – počet POV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C171E" w14:textId="77777777" w:rsidR="00377C35" w:rsidRPr="00377C35" w:rsidRDefault="00377C35" w:rsidP="00DD1223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3 123 981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FD7DA" w14:textId="77777777" w:rsidR="00377C35" w:rsidRPr="00377C35" w:rsidRDefault="00377C35" w:rsidP="00DD1223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2 034 516</w:t>
            </w:r>
          </w:p>
        </w:tc>
      </w:tr>
    </w:tbl>
    <w:p w14:paraId="4E419491" w14:textId="77777777" w:rsidR="00377C35" w:rsidRPr="00377C35" w:rsidRDefault="00377C35" w:rsidP="00377C35">
      <w:pPr>
        <w:spacing w:line="276" w:lineRule="auto"/>
        <w:rPr>
          <w:rFonts w:ascii="Arial" w:hAnsi="Arial" w:cs="Arial"/>
          <w:sz w:val="22"/>
          <w:szCs w:val="22"/>
        </w:rPr>
      </w:pPr>
      <w:r w:rsidRPr="00377C35">
        <w:rPr>
          <w:rFonts w:ascii="Arial" w:hAnsi="Arial" w:cs="Arial"/>
          <w:sz w:val="22"/>
          <w:szCs w:val="22"/>
        </w:rPr>
        <w:t>Zdroj: ADIS FS</w:t>
      </w:r>
    </w:p>
    <w:p w14:paraId="44ED6806" w14:textId="77777777" w:rsidR="00377C35" w:rsidRPr="00377C35" w:rsidRDefault="00377C35" w:rsidP="00377C35">
      <w:pPr>
        <w:spacing w:line="276" w:lineRule="auto"/>
        <w:rPr>
          <w:rFonts w:ascii="Arial" w:hAnsi="Arial" w:cs="Arial"/>
          <w:sz w:val="22"/>
          <w:szCs w:val="22"/>
        </w:rPr>
      </w:pPr>
    </w:p>
    <w:p w14:paraId="62BC96DA" w14:textId="77777777" w:rsidR="00377C35" w:rsidRPr="00377C35" w:rsidRDefault="00377C35" w:rsidP="00377C35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1"/>
        <w:gridCol w:w="1392"/>
        <w:gridCol w:w="1393"/>
        <w:gridCol w:w="1393"/>
        <w:gridCol w:w="1393"/>
      </w:tblGrid>
      <w:tr w:rsidR="00377C35" w:rsidRPr="00377C35" w14:paraId="48FB9948" w14:textId="77777777" w:rsidTr="00DD1223">
        <w:trPr>
          <w:trHeight w:val="276"/>
        </w:trPr>
        <w:tc>
          <w:tcPr>
            <w:tcW w:w="2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77F41FE1" w14:textId="77777777" w:rsidR="00377C35" w:rsidRPr="00377C35" w:rsidRDefault="00377C35" w:rsidP="00DD122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Rok obnovení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6B77F026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2023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7344D3EB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2024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3282D0CA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2025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5F9096F2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2026</w:t>
            </w:r>
          </w:p>
        </w:tc>
      </w:tr>
      <w:tr w:rsidR="00377C35" w:rsidRPr="00377C35" w14:paraId="148A4900" w14:textId="77777777" w:rsidTr="00DD1223">
        <w:trPr>
          <w:trHeight w:val="828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4310D" w14:textId="77777777" w:rsidR="00377C35" w:rsidRPr="00377C35" w:rsidRDefault="00377C35" w:rsidP="00DD122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Počet došlých plateb u daňových subjektů a druhů příjmu, u kterých došlo k odpisu v letech 2023 a 2024 a byly následně obnoveny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AAE05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31 525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2B7AD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30 846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D5B17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27 041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C42C5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12 944</w:t>
            </w:r>
          </w:p>
        </w:tc>
      </w:tr>
    </w:tbl>
    <w:p w14:paraId="181F38C7" w14:textId="77777777" w:rsidR="00377C35" w:rsidRPr="00377C35" w:rsidRDefault="00377C35" w:rsidP="00377C35">
      <w:pPr>
        <w:spacing w:line="276" w:lineRule="auto"/>
        <w:rPr>
          <w:rFonts w:ascii="Arial" w:hAnsi="Arial" w:cs="Arial"/>
          <w:sz w:val="22"/>
          <w:szCs w:val="22"/>
        </w:rPr>
      </w:pPr>
      <w:r w:rsidRPr="00377C35">
        <w:rPr>
          <w:rFonts w:ascii="Arial" w:hAnsi="Arial" w:cs="Arial"/>
          <w:sz w:val="22"/>
          <w:szCs w:val="22"/>
        </w:rPr>
        <w:t>Zdroj: ADIS FS</w:t>
      </w:r>
    </w:p>
    <w:p w14:paraId="00D1F17B" w14:textId="77777777" w:rsidR="00377C35" w:rsidRPr="00377C35" w:rsidRDefault="00377C35" w:rsidP="00377C35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6"/>
        <w:gridCol w:w="2865"/>
        <w:gridCol w:w="2865"/>
        <w:gridCol w:w="1926"/>
      </w:tblGrid>
      <w:tr w:rsidR="00377C35" w:rsidRPr="00377C35" w14:paraId="7FB02AF4" w14:textId="77777777" w:rsidTr="00DD1223">
        <w:trPr>
          <w:trHeight w:val="276"/>
        </w:trPr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11299E3B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Rok / Počty plateb</w:t>
            </w:r>
          </w:p>
        </w:tc>
        <w:tc>
          <w:tcPr>
            <w:tcW w:w="1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04A7E6CD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Běžné platby</w:t>
            </w:r>
          </w:p>
        </w:tc>
        <w:tc>
          <w:tcPr>
            <w:tcW w:w="1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384DE947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Platby z exekuce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1FFB1DBA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Celkem</w:t>
            </w:r>
          </w:p>
        </w:tc>
      </w:tr>
      <w:tr w:rsidR="00377C35" w:rsidRPr="00377C35" w14:paraId="4EF10EB3" w14:textId="77777777" w:rsidTr="00DD1223">
        <w:trPr>
          <w:trHeight w:val="276"/>
        </w:trPr>
        <w:tc>
          <w:tcPr>
            <w:tcW w:w="1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CD04C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2023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FBE9C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24 219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0600F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7 306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1DCD0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31 525</w:t>
            </w:r>
          </w:p>
        </w:tc>
      </w:tr>
      <w:tr w:rsidR="00377C35" w:rsidRPr="00377C35" w14:paraId="4026F484" w14:textId="77777777" w:rsidTr="00DD1223">
        <w:trPr>
          <w:trHeight w:val="276"/>
        </w:trPr>
        <w:tc>
          <w:tcPr>
            <w:tcW w:w="1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DBBAD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2024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59CBC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23 376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ABDAD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7 470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B6679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30 846</w:t>
            </w:r>
          </w:p>
        </w:tc>
      </w:tr>
      <w:tr w:rsidR="00377C35" w:rsidRPr="00377C35" w14:paraId="0FE79D70" w14:textId="77777777" w:rsidTr="00DD1223">
        <w:trPr>
          <w:trHeight w:val="276"/>
        </w:trPr>
        <w:tc>
          <w:tcPr>
            <w:tcW w:w="1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F4D83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2025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D6118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20 320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2D301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6 721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57574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27 041</w:t>
            </w:r>
          </w:p>
        </w:tc>
      </w:tr>
      <w:tr w:rsidR="00377C35" w:rsidRPr="00377C35" w14:paraId="631F15A2" w14:textId="77777777" w:rsidTr="00DD1223">
        <w:trPr>
          <w:trHeight w:val="276"/>
        </w:trPr>
        <w:tc>
          <w:tcPr>
            <w:tcW w:w="1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F914D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2026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618FA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 xml:space="preserve">  9 450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91F23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3 494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C6659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12 944</w:t>
            </w:r>
          </w:p>
        </w:tc>
      </w:tr>
      <w:tr w:rsidR="00377C35" w:rsidRPr="00377C35" w14:paraId="00C04F3B" w14:textId="77777777" w:rsidTr="00DD1223">
        <w:trPr>
          <w:trHeight w:val="276"/>
        </w:trPr>
        <w:tc>
          <w:tcPr>
            <w:tcW w:w="1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A8DD59F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Celkem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E491292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77 365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45A54C4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24 991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872A212" w14:textId="77777777" w:rsidR="00377C35" w:rsidRPr="00377C35" w:rsidRDefault="00377C35" w:rsidP="00DD122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7C3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102 356</w:t>
            </w:r>
          </w:p>
        </w:tc>
      </w:tr>
    </w:tbl>
    <w:p w14:paraId="6CAC30DF" w14:textId="77777777" w:rsidR="00377C35" w:rsidRPr="00377C35" w:rsidRDefault="00377C35" w:rsidP="00377C35">
      <w:pPr>
        <w:spacing w:line="276" w:lineRule="auto"/>
        <w:rPr>
          <w:rFonts w:ascii="Arial" w:hAnsi="Arial" w:cs="Arial"/>
          <w:sz w:val="22"/>
          <w:szCs w:val="22"/>
        </w:rPr>
      </w:pPr>
      <w:r w:rsidRPr="00377C35">
        <w:rPr>
          <w:rFonts w:ascii="Arial" w:hAnsi="Arial" w:cs="Arial"/>
          <w:sz w:val="22"/>
          <w:szCs w:val="22"/>
        </w:rPr>
        <w:t>Zdroj: ADIS FS</w:t>
      </w:r>
    </w:p>
    <w:p w14:paraId="67E309DD" w14:textId="77777777" w:rsidR="00377C35" w:rsidRPr="00377C35" w:rsidRDefault="00377C35">
      <w:pPr>
        <w:rPr>
          <w:rFonts w:ascii="Arial" w:hAnsi="Arial" w:cs="Arial"/>
          <w:sz w:val="22"/>
          <w:szCs w:val="22"/>
        </w:rPr>
      </w:pPr>
    </w:p>
    <w:p w14:paraId="37ABF60F" w14:textId="77777777" w:rsidR="00377C35" w:rsidRPr="00377C35" w:rsidRDefault="00377C35">
      <w:pPr>
        <w:rPr>
          <w:rFonts w:ascii="Arial" w:hAnsi="Arial" w:cs="Arial"/>
          <w:sz w:val="22"/>
          <w:szCs w:val="22"/>
        </w:rPr>
      </w:pPr>
    </w:p>
    <w:sectPr w:rsidR="00377C35" w:rsidRPr="00377C35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8C6"/>
    <w:rsid w:val="000870B3"/>
    <w:rsid w:val="00377C35"/>
    <w:rsid w:val="00F20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32D1C"/>
  <w15:docId w15:val="{1FD1B358-0CAA-44FA-8AAA-F2946B6D2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927</Words>
  <Characters>5474</Characters>
  <Application>Microsoft Office Word</Application>
  <DocSecurity>0</DocSecurity>
  <Lines>45</Lines>
  <Paragraphs>12</Paragraphs>
  <ScaleCrop>false</ScaleCrop>
  <Company>Stimulsoft Reports.JS 2024.2.6 from 2024.05.20</Company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2026-08-26T06:32:00Z</dcterms:created>
  <dcterms:modified xsi:type="dcterms:W3CDTF">2026-08-26T06:32:00Z</dcterms:modified>
  <cp:contentStatus>Netscape * Mozilla/5.0 (Windows NT 10.0; Win64; x64) AppleWebKit/537.36 (KHTML, like Gecko) Chrome/151.0.0.0 Safari/537.36 Edg/151.0.0.0</cp:contentStatus>
</cp:coreProperties>
</file>